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>:  Zach and Alexis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5B0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20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6A6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16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E76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5B1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2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334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22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334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18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2876A6" w:rsidRDefault="002876A6" w:rsidP="00955334">
      <w:pPr>
        <w:spacing w:line="240" w:lineRule="auto"/>
      </w:pPr>
      <w:r w:rsidRPr="00955334">
        <w:rPr>
          <w:b/>
        </w:rPr>
        <w:t>Total Points (50):</w:t>
      </w:r>
      <w:r>
        <w:t xml:space="preserve">  </w:t>
      </w:r>
      <w:r w:rsidR="00137702">
        <w:rPr>
          <w:i/>
        </w:rPr>
        <w:t>33</w:t>
      </w:r>
      <w:r w:rsidR="00955334">
        <w:t xml:space="preserve">       </w:t>
      </w:r>
      <w:r>
        <w:t xml:space="preserve">Comments:  </w:t>
      </w:r>
      <w:r w:rsidR="00137702">
        <w:rPr>
          <w:sz w:val="16"/>
          <w:szCs w:val="16"/>
        </w:rPr>
        <w:t xml:space="preserve">Hope, you need to create links so that everything is easily found.  I had to scroll through the pages </w:t>
      </w:r>
      <w:r w:rsidR="00D16DB6">
        <w:rPr>
          <w:sz w:val="16"/>
          <w:szCs w:val="16"/>
        </w:rPr>
        <w:t xml:space="preserve">from the manage wiki section to find your pages.  Also, please proofread and think about the layout of your project.  Nice Photos.  Keep working.  Who invented the </w:t>
      </w:r>
      <w:proofErr w:type="spellStart"/>
      <w:r w:rsidR="00D16DB6">
        <w:rPr>
          <w:sz w:val="16"/>
          <w:szCs w:val="16"/>
        </w:rPr>
        <w:t>piledriver</w:t>
      </w:r>
      <w:proofErr w:type="spellEnd"/>
      <w:r w:rsidR="00D16DB6">
        <w:rPr>
          <w:sz w:val="16"/>
          <w:szCs w:val="16"/>
        </w:rPr>
        <w:t>?  I still would like to know.</w:t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2876A6"/>
    <w:rsid w:val="002A5D19"/>
    <w:rsid w:val="003D4B67"/>
    <w:rsid w:val="008F2AC4"/>
    <w:rsid w:val="00955334"/>
    <w:rsid w:val="00B238DD"/>
    <w:rsid w:val="00D16DB6"/>
    <w:rsid w:val="00E76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2008-12-21T17:53:00Z</dcterms:created>
  <dcterms:modified xsi:type="dcterms:W3CDTF">2008-12-21T17:53:00Z</dcterms:modified>
</cp:coreProperties>
</file>